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891AE" w14:textId="60886799" w:rsidR="002F3F05" w:rsidRPr="002F3F05" w:rsidRDefault="0006415D" w:rsidP="00266A3B">
      <w:pPr>
        <w:rPr>
          <w:b/>
          <w:bCs/>
        </w:rPr>
      </w:pPr>
      <w:proofErr w:type="spellStart"/>
      <w:r>
        <w:rPr>
          <w:b/>
          <w:bCs/>
        </w:rPr>
        <w:t>Whistleblowing</w:t>
      </w:r>
      <w:proofErr w:type="spellEnd"/>
    </w:p>
    <w:p w14:paraId="0482A82F" w14:textId="77777777" w:rsidR="002F3F05" w:rsidRDefault="002F3F05" w:rsidP="006B4DD4">
      <w:pPr>
        <w:rPr>
          <w:rFonts w:ascii="Arial" w:hAnsi="Arial" w:cs="Arial"/>
          <w:sz w:val="20"/>
          <w:szCs w:val="20"/>
        </w:rPr>
      </w:pPr>
    </w:p>
    <w:p w14:paraId="098340C5" w14:textId="7C621EFF" w:rsidR="006B4DD4" w:rsidRDefault="006B4DD4" w:rsidP="00DE1D7A">
      <w:pPr>
        <w:rPr>
          <w:rFonts w:ascii="Arial" w:hAnsi="Arial" w:cs="Arial"/>
          <w:sz w:val="20"/>
          <w:szCs w:val="20"/>
        </w:rPr>
      </w:pPr>
      <w:r w:rsidRPr="00C6697A">
        <w:rPr>
          <w:rFonts w:ascii="Arial" w:hAnsi="Arial" w:cs="Arial"/>
          <w:sz w:val="20"/>
          <w:szCs w:val="20"/>
        </w:rPr>
        <w:t xml:space="preserve">Společnosti </w:t>
      </w:r>
      <w:r w:rsidR="00DE1D7A" w:rsidRPr="00DE1D7A">
        <w:rPr>
          <w:rFonts w:ascii="Arial" w:hAnsi="Arial" w:cs="Arial"/>
          <w:sz w:val="20"/>
          <w:szCs w:val="20"/>
        </w:rPr>
        <w:t>OPOP s.r.o.</w:t>
      </w:r>
      <w:r w:rsidR="00893679">
        <w:rPr>
          <w:rFonts w:ascii="Arial" w:hAnsi="Arial" w:cs="Arial"/>
          <w:sz w:val="20"/>
          <w:szCs w:val="20"/>
        </w:rPr>
        <w:t xml:space="preserve"> </w:t>
      </w:r>
      <w:r w:rsidRPr="00C6697A">
        <w:rPr>
          <w:rFonts w:ascii="Arial" w:hAnsi="Arial" w:cs="Arial"/>
          <w:sz w:val="20"/>
          <w:szCs w:val="20"/>
        </w:rPr>
        <w:t>(</w:t>
      </w:r>
      <w:proofErr w:type="gramStart"/>
      <w:r w:rsidR="00893679">
        <w:rPr>
          <w:rFonts w:ascii="Arial" w:hAnsi="Arial" w:cs="Arial"/>
          <w:sz w:val="20"/>
          <w:szCs w:val="20"/>
        </w:rPr>
        <w:t xml:space="preserve">dohromady </w:t>
      </w:r>
      <w:r w:rsidRPr="00C6697A">
        <w:rPr>
          <w:rFonts w:ascii="Arial" w:hAnsi="Arial" w:cs="Arial"/>
          <w:sz w:val="20"/>
          <w:szCs w:val="20"/>
        </w:rPr>
        <w:t xml:space="preserve"> jen</w:t>
      </w:r>
      <w:proofErr w:type="gramEnd"/>
      <w:r w:rsidRPr="00C6697A">
        <w:rPr>
          <w:rFonts w:ascii="Arial" w:hAnsi="Arial" w:cs="Arial"/>
          <w:sz w:val="20"/>
          <w:szCs w:val="20"/>
        </w:rPr>
        <w:t xml:space="preserve"> „Společnost</w:t>
      </w:r>
      <w:r w:rsidR="00C6697A" w:rsidRPr="00C6697A">
        <w:rPr>
          <w:rFonts w:ascii="Arial" w:hAnsi="Arial" w:cs="Arial"/>
          <w:sz w:val="20"/>
          <w:szCs w:val="20"/>
        </w:rPr>
        <w:t>“)</w:t>
      </w:r>
      <w:r w:rsidRPr="00C6697A">
        <w:rPr>
          <w:rFonts w:ascii="Arial" w:hAnsi="Arial" w:cs="Arial"/>
          <w:sz w:val="20"/>
          <w:szCs w:val="20"/>
        </w:rPr>
        <w:t xml:space="preserve"> vznikla na základě zákona č. 171/2023 Sb., o ochraně oznamovatelů (dále jen "Zákon"), účinného od 1. srpna 2023 povinnost zavést vnitřní oznamovací systém k přijímání oznámen</w:t>
      </w:r>
      <w:r w:rsidR="00C6697A">
        <w:rPr>
          <w:rFonts w:ascii="Arial" w:hAnsi="Arial" w:cs="Arial"/>
          <w:sz w:val="20"/>
          <w:szCs w:val="20"/>
        </w:rPr>
        <w:t>í</w:t>
      </w:r>
      <w:r w:rsidR="007F74DB" w:rsidRPr="00C6697A">
        <w:rPr>
          <w:rFonts w:ascii="Arial" w:hAnsi="Arial" w:cs="Arial"/>
          <w:sz w:val="20"/>
          <w:szCs w:val="20"/>
        </w:rPr>
        <w:t>.</w:t>
      </w:r>
    </w:p>
    <w:p w14:paraId="7CF18403" w14:textId="2296138A" w:rsidR="007F74DB" w:rsidRPr="00C6697A" w:rsidRDefault="006B4DD4" w:rsidP="006B4DD4">
      <w:pPr>
        <w:rPr>
          <w:rFonts w:ascii="Arial" w:hAnsi="Arial" w:cs="Arial"/>
          <w:sz w:val="20"/>
          <w:szCs w:val="20"/>
        </w:rPr>
      </w:pPr>
      <w:r w:rsidRPr="00C6697A">
        <w:rPr>
          <w:rFonts w:ascii="Arial" w:hAnsi="Arial" w:cs="Arial"/>
          <w:sz w:val="20"/>
          <w:szCs w:val="20"/>
        </w:rPr>
        <w:t xml:space="preserve">Oznamovatelem je fyzická osoba, která učiní oznámení dle Zákona, a to prostřednictvím </w:t>
      </w:r>
      <w:r w:rsidR="007F74DB" w:rsidRPr="00C6697A">
        <w:rPr>
          <w:rFonts w:ascii="Arial" w:hAnsi="Arial" w:cs="Arial"/>
          <w:sz w:val="20"/>
          <w:szCs w:val="20"/>
        </w:rPr>
        <w:t xml:space="preserve">vnitřního oznamovacího systému </w:t>
      </w:r>
      <w:r w:rsidR="00C6697A">
        <w:rPr>
          <w:rFonts w:ascii="Arial" w:hAnsi="Arial" w:cs="Arial"/>
          <w:sz w:val="20"/>
          <w:szCs w:val="20"/>
        </w:rPr>
        <w:t>S</w:t>
      </w:r>
      <w:r w:rsidR="007F74DB" w:rsidRPr="00C6697A">
        <w:rPr>
          <w:rFonts w:ascii="Arial" w:hAnsi="Arial" w:cs="Arial"/>
          <w:sz w:val="20"/>
          <w:szCs w:val="20"/>
        </w:rPr>
        <w:t>polečnost</w:t>
      </w:r>
      <w:r w:rsidR="00893679">
        <w:rPr>
          <w:rFonts w:ascii="Arial" w:hAnsi="Arial" w:cs="Arial"/>
          <w:sz w:val="20"/>
          <w:szCs w:val="20"/>
        </w:rPr>
        <w:t>í</w:t>
      </w:r>
      <w:r w:rsidR="007F74DB" w:rsidRPr="00C6697A">
        <w:rPr>
          <w:rFonts w:ascii="Arial" w:hAnsi="Arial" w:cs="Arial"/>
          <w:sz w:val="20"/>
          <w:szCs w:val="20"/>
        </w:rPr>
        <w:t xml:space="preserve">. Oznamovatelé mohou oznámení podávat rovněž u Ministerstva spravedlnosti, které provozuje externí oznamovací systém. Více informací naleznete na </w:t>
      </w:r>
      <w:hyperlink r:id="rId5" w:history="1">
        <w:r w:rsidR="007F74DB" w:rsidRPr="00C6697A">
          <w:rPr>
            <w:rStyle w:val="Hypertextovodkaz"/>
            <w:rFonts w:ascii="Arial" w:hAnsi="Arial" w:cs="Arial"/>
            <w:sz w:val="20"/>
            <w:szCs w:val="20"/>
          </w:rPr>
          <w:t>https://oznamovatel.justice.cz/</w:t>
        </w:r>
      </w:hyperlink>
      <w:r w:rsidR="007F74DB" w:rsidRPr="00C6697A">
        <w:rPr>
          <w:rFonts w:ascii="Arial" w:hAnsi="Arial" w:cs="Arial"/>
          <w:sz w:val="20"/>
          <w:szCs w:val="20"/>
        </w:rPr>
        <w:t>. Oznámení lze dále učinit uveřejněním, případně přímo příslušnému orgánu veřejné moci.</w:t>
      </w:r>
    </w:p>
    <w:p w14:paraId="70D5EC26" w14:textId="6D092623" w:rsidR="00893679" w:rsidRDefault="007F74DB" w:rsidP="00DE1D7A">
      <w:pPr>
        <w:rPr>
          <w:rFonts w:ascii="Arial" w:hAnsi="Arial" w:cs="Arial"/>
          <w:sz w:val="20"/>
          <w:szCs w:val="20"/>
        </w:rPr>
      </w:pPr>
      <w:r w:rsidRPr="00C6697A">
        <w:rPr>
          <w:rFonts w:ascii="Arial" w:hAnsi="Arial" w:cs="Arial"/>
          <w:sz w:val="20"/>
          <w:szCs w:val="20"/>
        </w:rPr>
        <w:t>Společn</w:t>
      </w:r>
      <w:r w:rsidR="00DE1D7A">
        <w:rPr>
          <w:rFonts w:ascii="Arial" w:hAnsi="Arial" w:cs="Arial"/>
          <w:sz w:val="20"/>
          <w:szCs w:val="20"/>
        </w:rPr>
        <w:t xml:space="preserve">ost OPOP s.r.o. </w:t>
      </w:r>
      <w:r w:rsidR="006427A0" w:rsidRPr="00C6697A">
        <w:rPr>
          <w:rFonts w:ascii="Arial" w:hAnsi="Arial" w:cs="Arial"/>
          <w:sz w:val="20"/>
          <w:szCs w:val="20"/>
        </w:rPr>
        <w:t>vylučuje přijímání oznámení od osoby, která pro ni nevykonává práci nebo jinou obdobnou činnost podle § 2 odst. 3 písm. a), b), h) nebo i) Zákona (tzn. závislou práci vykonávanou v základním pracovněprávním vztahu, službu, dobrovolnickou činnost, odbornou praxi, stáž).</w:t>
      </w:r>
    </w:p>
    <w:p w14:paraId="41FA55F5" w14:textId="7CC14679" w:rsidR="006427A0" w:rsidRPr="00C6697A" w:rsidRDefault="006427A0" w:rsidP="006427A0">
      <w:pPr>
        <w:rPr>
          <w:rFonts w:ascii="Arial" w:hAnsi="Arial" w:cs="Arial"/>
          <w:sz w:val="20"/>
          <w:szCs w:val="20"/>
        </w:rPr>
      </w:pPr>
      <w:r w:rsidRPr="00C6697A">
        <w:rPr>
          <w:rFonts w:ascii="Arial" w:hAnsi="Arial" w:cs="Arial"/>
          <w:color w:val="000000"/>
          <w:sz w:val="20"/>
          <w:szCs w:val="20"/>
        </w:rPr>
        <w:t>Oznámení obsahuje informace o možném protiprávním jednání, k němuž došlo nebo má dojít u osoby, pro niž oznamovatel, byť zprostředkovaně, vykonával nebo vykonává práci nebo jinou obdobnou činnost, nebo u osoby, se kterou oznamovatel byl nebo je v kontaktu v souvislosti s výkonem práce nebo jiné obdobné činnosti, a které</w:t>
      </w:r>
    </w:p>
    <w:p w14:paraId="3BC0767D" w14:textId="77777777" w:rsidR="006427A0" w:rsidRPr="00C6697A" w:rsidRDefault="006427A0" w:rsidP="006427A0">
      <w:pPr>
        <w:pStyle w:val="l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C6697A">
        <w:rPr>
          <w:rStyle w:val="PromnnHTML"/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  <w:t>a)</w:t>
      </w:r>
      <w:r w:rsidRPr="00C6697A">
        <w:rPr>
          <w:rFonts w:ascii="Arial" w:hAnsi="Arial" w:cs="Arial"/>
          <w:color w:val="000000"/>
          <w:sz w:val="20"/>
          <w:szCs w:val="20"/>
        </w:rPr>
        <w:t> má znaky trestného činu,</w:t>
      </w:r>
    </w:p>
    <w:p w14:paraId="618E751F" w14:textId="77777777" w:rsidR="006427A0" w:rsidRPr="00C6697A" w:rsidRDefault="006427A0" w:rsidP="006427A0">
      <w:pPr>
        <w:pStyle w:val="l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C6697A">
        <w:rPr>
          <w:rStyle w:val="PromnnHTML"/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  <w:t>b)</w:t>
      </w:r>
      <w:r w:rsidRPr="00C6697A">
        <w:rPr>
          <w:rFonts w:ascii="Arial" w:hAnsi="Arial" w:cs="Arial"/>
          <w:color w:val="000000"/>
          <w:sz w:val="20"/>
          <w:szCs w:val="20"/>
        </w:rPr>
        <w:t> má znaky přestupku, za který zákon stanoví sazbu pokuty, jejíž horní hranice je alespoň 100000 Kč,</w:t>
      </w:r>
    </w:p>
    <w:p w14:paraId="31300CB1" w14:textId="77777777" w:rsidR="006427A0" w:rsidRPr="00C6697A" w:rsidRDefault="006427A0" w:rsidP="006427A0">
      <w:pPr>
        <w:pStyle w:val="l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C6697A">
        <w:rPr>
          <w:rStyle w:val="PromnnHTML"/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  <w:t>c)</w:t>
      </w:r>
      <w:r w:rsidRPr="00C6697A">
        <w:rPr>
          <w:rFonts w:ascii="Arial" w:hAnsi="Arial" w:cs="Arial"/>
          <w:color w:val="000000"/>
          <w:sz w:val="20"/>
          <w:szCs w:val="20"/>
        </w:rPr>
        <w:t> porušuje tento zákon, nebo</w:t>
      </w:r>
    </w:p>
    <w:p w14:paraId="1B63A165" w14:textId="77777777" w:rsidR="006427A0" w:rsidRPr="00C6697A" w:rsidRDefault="006427A0" w:rsidP="006427A0">
      <w:pPr>
        <w:pStyle w:val="l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C6697A">
        <w:rPr>
          <w:rStyle w:val="PromnnHTML"/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  <w:t>d)</w:t>
      </w:r>
      <w:r w:rsidRPr="00C6697A">
        <w:rPr>
          <w:rFonts w:ascii="Arial" w:hAnsi="Arial" w:cs="Arial"/>
          <w:color w:val="000000"/>
          <w:sz w:val="20"/>
          <w:szCs w:val="20"/>
        </w:rPr>
        <w:t> porušuje jiný právní předpis nebo předpis Evropské unie v oblasti</w:t>
      </w:r>
    </w:p>
    <w:p w14:paraId="583350EB" w14:textId="77777777" w:rsidR="006427A0" w:rsidRPr="00C6697A" w:rsidRDefault="006427A0" w:rsidP="006427A0">
      <w:pPr>
        <w:pStyle w:val="l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C6697A">
        <w:rPr>
          <w:rStyle w:val="PromnnHTML"/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  <w:t>1.</w:t>
      </w:r>
      <w:r w:rsidRPr="00C6697A">
        <w:rPr>
          <w:rFonts w:ascii="Arial" w:hAnsi="Arial" w:cs="Arial"/>
          <w:color w:val="000000"/>
          <w:sz w:val="20"/>
          <w:szCs w:val="20"/>
        </w:rPr>
        <w:t> finančních služeb, povinného auditu a jiných ověřovacích služeb, finančních produktů a finančních trhů,</w:t>
      </w:r>
    </w:p>
    <w:p w14:paraId="43B42E2C" w14:textId="77777777" w:rsidR="006427A0" w:rsidRPr="00C6697A" w:rsidRDefault="006427A0" w:rsidP="006427A0">
      <w:pPr>
        <w:pStyle w:val="l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C6697A">
        <w:rPr>
          <w:rStyle w:val="PromnnHTML"/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  <w:t>2.</w:t>
      </w:r>
      <w:r w:rsidRPr="00C6697A">
        <w:rPr>
          <w:rFonts w:ascii="Arial" w:hAnsi="Arial" w:cs="Arial"/>
          <w:color w:val="000000"/>
          <w:sz w:val="20"/>
          <w:szCs w:val="20"/>
        </w:rPr>
        <w:t> daně z příjmů právnických osob,</w:t>
      </w:r>
    </w:p>
    <w:p w14:paraId="725C2FEA" w14:textId="77777777" w:rsidR="006427A0" w:rsidRPr="00C6697A" w:rsidRDefault="006427A0" w:rsidP="006427A0">
      <w:pPr>
        <w:pStyle w:val="l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C6697A">
        <w:rPr>
          <w:rStyle w:val="PromnnHTML"/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  <w:t>3.</w:t>
      </w:r>
      <w:r w:rsidRPr="00C6697A">
        <w:rPr>
          <w:rFonts w:ascii="Arial" w:hAnsi="Arial" w:cs="Arial"/>
          <w:color w:val="000000"/>
          <w:sz w:val="20"/>
          <w:szCs w:val="20"/>
        </w:rPr>
        <w:t> předcházení legalizaci výnosů z trestné činnosti a financování terorismu,</w:t>
      </w:r>
    </w:p>
    <w:p w14:paraId="55A70D5B" w14:textId="77777777" w:rsidR="006427A0" w:rsidRPr="00C6697A" w:rsidRDefault="006427A0" w:rsidP="006427A0">
      <w:pPr>
        <w:pStyle w:val="l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C6697A">
        <w:rPr>
          <w:rStyle w:val="PromnnHTML"/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  <w:t>4.</w:t>
      </w:r>
      <w:r w:rsidRPr="00C6697A">
        <w:rPr>
          <w:rFonts w:ascii="Arial" w:hAnsi="Arial" w:cs="Arial"/>
          <w:color w:val="000000"/>
          <w:sz w:val="20"/>
          <w:szCs w:val="20"/>
        </w:rPr>
        <w:t> ochrany spotřebitele,</w:t>
      </w:r>
    </w:p>
    <w:p w14:paraId="04B844E3" w14:textId="77777777" w:rsidR="006427A0" w:rsidRPr="00C6697A" w:rsidRDefault="006427A0" w:rsidP="006427A0">
      <w:pPr>
        <w:pStyle w:val="l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C6697A">
        <w:rPr>
          <w:rStyle w:val="PromnnHTML"/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  <w:t>5.</w:t>
      </w:r>
      <w:r w:rsidRPr="00C6697A">
        <w:rPr>
          <w:rFonts w:ascii="Arial" w:hAnsi="Arial" w:cs="Arial"/>
          <w:color w:val="000000"/>
          <w:sz w:val="20"/>
          <w:szCs w:val="20"/>
        </w:rPr>
        <w:t> souladu s požadavky na výrobky včetně jejich bezpečnosti,</w:t>
      </w:r>
    </w:p>
    <w:p w14:paraId="2C37705D" w14:textId="77777777" w:rsidR="006427A0" w:rsidRPr="00C6697A" w:rsidRDefault="006427A0" w:rsidP="006427A0">
      <w:pPr>
        <w:pStyle w:val="l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C6697A">
        <w:rPr>
          <w:rStyle w:val="PromnnHTML"/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  <w:t>6.</w:t>
      </w:r>
      <w:r w:rsidRPr="00C6697A">
        <w:rPr>
          <w:rFonts w:ascii="Arial" w:hAnsi="Arial" w:cs="Arial"/>
          <w:color w:val="000000"/>
          <w:sz w:val="20"/>
          <w:szCs w:val="20"/>
        </w:rPr>
        <w:t> bezpečnosti dopravy, přepravy a provozu na pozemních komunikacích,</w:t>
      </w:r>
    </w:p>
    <w:p w14:paraId="65DE6697" w14:textId="77777777" w:rsidR="006427A0" w:rsidRPr="00C6697A" w:rsidRDefault="006427A0" w:rsidP="006427A0">
      <w:pPr>
        <w:pStyle w:val="l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C6697A">
        <w:rPr>
          <w:rStyle w:val="PromnnHTML"/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  <w:t>7.</w:t>
      </w:r>
      <w:r w:rsidRPr="00C6697A">
        <w:rPr>
          <w:rFonts w:ascii="Arial" w:hAnsi="Arial" w:cs="Arial"/>
          <w:color w:val="000000"/>
          <w:sz w:val="20"/>
          <w:szCs w:val="20"/>
        </w:rPr>
        <w:t> ochrany životního prostředí,</w:t>
      </w:r>
    </w:p>
    <w:p w14:paraId="2012A1A6" w14:textId="77777777" w:rsidR="006427A0" w:rsidRPr="00C6697A" w:rsidRDefault="006427A0" w:rsidP="006427A0">
      <w:pPr>
        <w:pStyle w:val="l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C6697A">
        <w:rPr>
          <w:rStyle w:val="PromnnHTML"/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  <w:t>8.</w:t>
      </w:r>
      <w:r w:rsidRPr="00C6697A">
        <w:rPr>
          <w:rFonts w:ascii="Arial" w:hAnsi="Arial" w:cs="Arial"/>
          <w:color w:val="000000"/>
          <w:sz w:val="20"/>
          <w:szCs w:val="20"/>
        </w:rPr>
        <w:t> bezpečnosti potravin a krmiv a ochrany zvířat a jejich zdraví,</w:t>
      </w:r>
    </w:p>
    <w:p w14:paraId="05D01B46" w14:textId="77777777" w:rsidR="006427A0" w:rsidRPr="00C6697A" w:rsidRDefault="006427A0" w:rsidP="006427A0">
      <w:pPr>
        <w:pStyle w:val="l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C6697A">
        <w:rPr>
          <w:rStyle w:val="PromnnHTML"/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  <w:t>9.</w:t>
      </w:r>
      <w:r w:rsidRPr="00C6697A">
        <w:rPr>
          <w:rFonts w:ascii="Arial" w:hAnsi="Arial" w:cs="Arial"/>
          <w:color w:val="000000"/>
          <w:sz w:val="20"/>
          <w:szCs w:val="20"/>
        </w:rPr>
        <w:t> radiační ochrany a jaderné bezpečnosti,</w:t>
      </w:r>
    </w:p>
    <w:p w14:paraId="1BB3083A" w14:textId="77777777" w:rsidR="006427A0" w:rsidRPr="00C6697A" w:rsidRDefault="006427A0" w:rsidP="006427A0">
      <w:pPr>
        <w:pStyle w:val="l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C6697A">
        <w:rPr>
          <w:rStyle w:val="PromnnHTML"/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  <w:t>10.</w:t>
      </w:r>
      <w:r w:rsidRPr="00C6697A">
        <w:rPr>
          <w:rFonts w:ascii="Arial" w:hAnsi="Arial" w:cs="Arial"/>
          <w:color w:val="000000"/>
          <w:sz w:val="20"/>
          <w:szCs w:val="20"/>
        </w:rPr>
        <w:t> hospodářské soutěže, veřejných dražeb a zadávání veřejných zakázek,</w:t>
      </w:r>
    </w:p>
    <w:p w14:paraId="3E4F4A99" w14:textId="77777777" w:rsidR="006427A0" w:rsidRPr="00C6697A" w:rsidRDefault="006427A0" w:rsidP="006427A0">
      <w:pPr>
        <w:pStyle w:val="l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C6697A">
        <w:rPr>
          <w:rStyle w:val="PromnnHTML"/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  <w:t>11.</w:t>
      </w:r>
      <w:r w:rsidRPr="00C6697A">
        <w:rPr>
          <w:rFonts w:ascii="Arial" w:hAnsi="Arial" w:cs="Arial"/>
          <w:color w:val="000000"/>
          <w:sz w:val="20"/>
          <w:szCs w:val="20"/>
        </w:rPr>
        <w:t> ochrany vnitřního pořádku a bezpečnosti, života a zdraví,</w:t>
      </w:r>
    </w:p>
    <w:p w14:paraId="02EDABE6" w14:textId="77777777" w:rsidR="006427A0" w:rsidRPr="00C6697A" w:rsidRDefault="006427A0" w:rsidP="006427A0">
      <w:pPr>
        <w:pStyle w:val="l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C6697A">
        <w:rPr>
          <w:rStyle w:val="PromnnHTML"/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  <w:t>12.</w:t>
      </w:r>
      <w:r w:rsidRPr="00C6697A">
        <w:rPr>
          <w:rFonts w:ascii="Arial" w:hAnsi="Arial" w:cs="Arial"/>
          <w:color w:val="000000"/>
          <w:sz w:val="20"/>
          <w:szCs w:val="20"/>
        </w:rPr>
        <w:t> ochrany osobních údajů, soukromí a bezpečnosti sítí elektronických komunikací a informačních systémů,</w:t>
      </w:r>
    </w:p>
    <w:p w14:paraId="72E841A3" w14:textId="77777777" w:rsidR="006427A0" w:rsidRPr="00C6697A" w:rsidRDefault="006427A0" w:rsidP="006427A0">
      <w:pPr>
        <w:pStyle w:val="l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C6697A">
        <w:rPr>
          <w:rStyle w:val="PromnnHTML"/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  <w:t>13.</w:t>
      </w:r>
      <w:r w:rsidRPr="00C6697A">
        <w:rPr>
          <w:rFonts w:ascii="Arial" w:hAnsi="Arial" w:cs="Arial"/>
          <w:color w:val="000000"/>
          <w:sz w:val="20"/>
          <w:szCs w:val="20"/>
        </w:rPr>
        <w:t> ochrany finančních zájmů Evropské unie</w:t>
      </w:r>
      <w:hyperlink r:id="rId6" w:anchor="f7705550" w:history="1">
        <w:r w:rsidRPr="00C6697A">
          <w:rPr>
            <w:rStyle w:val="Hypertextovodkaz"/>
            <w:rFonts w:ascii="Arial" w:hAnsi="Arial" w:cs="Arial"/>
            <w:b/>
            <w:bCs/>
            <w:color w:val="15679C"/>
            <w:sz w:val="20"/>
            <w:szCs w:val="20"/>
            <w:vertAlign w:val="superscript"/>
          </w:rPr>
          <w:t>2</w:t>
        </w:r>
        <w:r w:rsidRPr="00C6697A">
          <w:rPr>
            <w:rStyle w:val="Hypertextovodkaz"/>
            <w:rFonts w:ascii="Arial" w:hAnsi="Arial" w:cs="Arial"/>
            <w:b/>
            <w:bCs/>
            <w:color w:val="15679C"/>
            <w:sz w:val="20"/>
            <w:szCs w:val="20"/>
          </w:rPr>
          <w:t>)</w:t>
        </w:r>
      </w:hyperlink>
      <w:r w:rsidRPr="00C6697A">
        <w:rPr>
          <w:rFonts w:ascii="Arial" w:hAnsi="Arial" w:cs="Arial"/>
          <w:color w:val="000000"/>
          <w:sz w:val="20"/>
          <w:szCs w:val="20"/>
        </w:rPr>
        <w:t>, nebo</w:t>
      </w:r>
    </w:p>
    <w:p w14:paraId="532AF510" w14:textId="77777777" w:rsidR="006427A0" w:rsidRPr="00C6697A" w:rsidRDefault="006427A0" w:rsidP="006427A0">
      <w:pPr>
        <w:pStyle w:val="l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C6697A">
        <w:rPr>
          <w:rStyle w:val="PromnnHTML"/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  <w:t>14.</w:t>
      </w:r>
      <w:r w:rsidRPr="00C6697A">
        <w:rPr>
          <w:rFonts w:ascii="Arial" w:hAnsi="Arial" w:cs="Arial"/>
          <w:color w:val="000000"/>
          <w:sz w:val="20"/>
          <w:szCs w:val="20"/>
        </w:rPr>
        <w:t> fungování vnitřního trhu</w:t>
      </w:r>
      <w:hyperlink r:id="rId7" w:anchor="f7705551" w:history="1">
        <w:r w:rsidRPr="00C6697A">
          <w:rPr>
            <w:rStyle w:val="Hypertextovodkaz"/>
            <w:rFonts w:ascii="Arial" w:hAnsi="Arial" w:cs="Arial"/>
            <w:b/>
            <w:bCs/>
            <w:color w:val="15679C"/>
            <w:sz w:val="20"/>
            <w:szCs w:val="20"/>
            <w:vertAlign w:val="superscript"/>
          </w:rPr>
          <w:t>3</w:t>
        </w:r>
        <w:r w:rsidRPr="00C6697A">
          <w:rPr>
            <w:rStyle w:val="Hypertextovodkaz"/>
            <w:rFonts w:ascii="Arial" w:hAnsi="Arial" w:cs="Arial"/>
            <w:b/>
            <w:bCs/>
            <w:color w:val="15679C"/>
            <w:sz w:val="20"/>
            <w:szCs w:val="20"/>
          </w:rPr>
          <w:t>)</w:t>
        </w:r>
      </w:hyperlink>
      <w:r w:rsidRPr="00C6697A">
        <w:rPr>
          <w:rFonts w:ascii="Arial" w:hAnsi="Arial" w:cs="Arial"/>
          <w:color w:val="000000"/>
          <w:sz w:val="20"/>
          <w:szCs w:val="20"/>
        </w:rPr>
        <w:t> včetně ochrany hospodářské soutěže a státní podpory podle práva Evropské unie.</w:t>
      </w:r>
    </w:p>
    <w:p w14:paraId="51A166B8" w14:textId="77777777" w:rsidR="006B4DD4" w:rsidRPr="00C6697A" w:rsidRDefault="006B4DD4" w:rsidP="006B4DD4">
      <w:pPr>
        <w:rPr>
          <w:rFonts w:ascii="Arial" w:hAnsi="Arial" w:cs="Arial"/>
          <w:sz w:val="20"/>
          <w:szCs w:val="20"/>
        </w:rPr>
      </w:pPr>
    </w:p>
    <w:p w14:paraId="37EE8B18" w14:textId="74BA7442" w:rsidR="006B4DD4" w:rsidRPr="00C6697A" w:rsidRDefault="006427A0" w:rsidP="006B4DD4">
      <w:pPr>
        <w:rPr>
          <w:rFonts w:ascii="Arial" w:hAnsi="Arial" w:cs="Arial"/>
          <w:sz w:val="20"/>
          <w:szCs w:val="20"/>
        </w:rPr>
      </w:pPr>
      <w:r w:rsidRPr="00C6697A">
        <w:rPr>
          <w:rFonts w:ascii="Arial" w:hAnsi="Arial" w:cs="Arial"/>
          <w:sz w:val="20"/>
          <w:szCs w:val="20"/>
        </w:rPr>
        <w:t xml:space="preserve">Oznámení musí obsahovat </w:t>
      </w:r>
      <w:r w:rsidR="006B4DD4" w:rsidRPr="00C6697A">
        <w:rPr>
          <w:rFonts w:ascii="Arial" w:hAnsi="Arial" w:cs="Arial"/>
          <w:sz w:val="20"/>
          <w:szCs w:val="20"/>
        </w:rPr>
        <w:t xml:space="preserve">jméno, příjmení a datum narození, nebo jiné údaje, z nichž je možné dovodit totožnost oznamovatele (oznámení nemusí obsahovat tyto údaje, pokud bylo podáno osobou, jejíž totožnost je příslušné osobě </w:t>
      </w:r>
      <w:r w:rsidRPr="00C6697A">
        <w:rPr>
          <w:rFonts w:ascii="Arial" w:hAnsi="Arial" w:cs="Arial"/>
          <w:sz w:val="20"/>
          <w:szCs w:val="20"/>
        </w:rPr>
        <w:t xml:space="preserve">Společnosti </w:t>
      </w:r>
      <w:r w:rsidR="006B4DD4" w:rsidRPr="00C6697A">
        <w:rPr>
          <w:rFonts w:ascii="Arial" w:hAnsi="Arial" w:cs="Arial"/>
          <w:sz w:val="20"/>
          <w:szCs w:val="20"/>
        </w:rPr>
        <w:t>známa)</w:t>
      </w:r>
      <w:r w:rsidRPr="00C6697A">
        <w:rPr>
          <w:rFonts w:ascii="Arial" w:hAnsi="Arial" w:cs="Arial"/>
          <w:sz w:val="20"/>
          <w:szCs w:val="20"/>
        </w:rPr>
        <w:t>.</w:t>
      </w:r>
    </w:p>
    <w:p w14:paraId="198C4B2E" w14:textId="77777777" w:rsidR="00C6697A" w:rsidRPr="00C6697A" w:rsidRDefault="00C6697A" w:rsidP="00C6697A">
      <w:pPr>
        <w:rPr>
          <w:rFonts w:ascii="Arial" w:hAnsi="Arial" w:cs="Arial"/>
          <w:sz w:val="20"/>
          <w:szCs w:val="20"/>
        </w:rPr>
      </w:pPr>
      <w:r w:rsidRPr="00C6697A">
        <w:rPr>
          <w:rFonts w:ascii="Arial" w:hAnsi="Arial" w:cs="Arial"/>
          <w:sz w:val="20"/>
          <w:szCs w:val="20"/>
        </w:rPr>
        <w:t xml:space="preserve">Oznámení musí být určité a srozumitelné. Z oznámení musí být zřejmé, proti které osobě směřuje a jakého jednání se týká tak, aby bylo možné jej řádně prošetřit. Proti oznamovateli nesmí být v souvislosti s podáním oznámení vedeno žádné odvetné opatření. </w:t>
      </w:r>
    </w:p>
    <w:p w14:paraId="362CD371" w14:textId="77777777" w:rsidR="00C6697A" w:rsidRPr="00C6697A" w:rsidRDefault="00C6697A" w:rsidP="00C6697A">
      <w:pPr>
        <w:rPr>
          <w:rFonts w:ascii="Arial" w:hAnsi="Arial" w:cs="Arial"/>
          <w:sz w:val="20"/>
          <w:szCs w:val="20"/>
        </w:rPr>
      </w:pPr>
      <w:r w:rsidRPr="00C6697A">
        <w:rPr>
          <w:rFonts w:ascii="Arial" w:hAnsi="Arial" w:cs="Arial"/>
          <w:sz w:val="20"/>
          <w:szCs w:val="20"/>
        </w:rPr>
        <w:t>Vědomé podání nepravdivého oznámení může být považováno za trestný čin a jako takovému mu nepřísluší ochrana podle zákona o ochraně oznamovatelů.</w:t>
      </w:r>
    </w:p>
    <w:p w14:paraId="2E0F3C62" w14:textId="77777777" w:rsidR="00C6697A" w:rsidRPr="00C6697A" w:rsidRDefault="00C6697A" w:rsidP="006B4DD4">
      <w:pPr>
        <w:rPr>
          <w:rFonts w:ascii="Arial" w:hAnsi="Arial" w:cs="Arial"/>
          <w:sz w:val="20"/>
          <w:szCs w:val="20"/>
        </w:rPr>
      </w:pPr>
    </w:p>
    <w:p w14:paraId="08A94988" w14:textId="4F4CDFF1" w:rsidR="006B4DD4" w:rsidRPr="00C6697A" w:rsidRDefault="006427A0" w:rsidP="006B4DD4">
      <w:pPr>
        <w:rPr>
          <w:rFonts w:ascii="Arial" w:hAnsi="Arial" w:cs="Arial"/>
          <w:b/>
          <w:bCs/>
          <w:sz w:val="20"/>
          <w:szCs w:val="20"/>
        </w:rPr>
      </w:pPr>
      <w:r w:rsidRPr="00C6697A">
        <w:rPr>
          <w:rFonts w:ascii="Arial" w:hAnsi="Arial" w:cs="Arial"/>
          <w:b/>
          <w:bCs/>
          <w:sz w:val="20"/>
          <w:szCs w:val="20"/>
        </w:rPr>
        <w:t>Možnosti podání oznámení:</w:t>
      </w:r>
    </w:p>
    <w:p w14:paraId="27736A25" w14:textId="6E4E1E6B" w:rsidR="006427A0" w:rsidRPr="001F7E98" w:rsidRDefault="006427A0" w:rsidP="006B4DD4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1F7E98">
        <w:rPr>
          <w:rFonts w:ascii="Arial" w:hAnsi="Arial" w:cs="Arial"/>
          <w:b/>
          <w:bCs/>
          <w:sz w:val="20"/>
          <w:szCs w:val="20"/>
          <w:u w:val="single"/>
        </w:rPr>
        <w:lastRenderedPageBreak/>
        <w:t>Písemně:</w:t>
      </w:r>
    </w:p>
    <w:p w14:paraId="2AD188F8" w14:textId="622DD423" w:rsidR="006427A0" w:rsidRDefault="00DE1D7A" w:rsidP="00DE1D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Doručením do schránky společnosti v sídle společnosti nacházející se na adrese </w:t>
      </w:r>
      <w:proofErr w:type="spellStart"/>
      <w:r>
        <w:rPr>
          <w:rFonts w:ascii="Arial" w:hAnsi="Arial" w:cs="Arial"/>
          <w:sz w:val="20"/>
          <w:szCs w:val="20"/>
        </w:rPr>
        <w:t>Zašovská</w:t>
      </w:r>
      <w:proofErr w:type="spellEnd"/>
      <w:r>
        <w:rPr>
          <w:rFonts w:ascii="Arial" w:hAnsi="Arial" w:cs="Arial"/>
          <w:sz w:val="20"/>
          <w:szCs w:val="20"/>
        </w:rPr>
        <w:t xml:space="preserve"> 750</w:t>
      </w:r>
      <w:r w:rsidRPr="00DE1D7A">
        <w:rPr>
          <w:rFonts w:ascii="Arial" w:hAnsi="Arial" w:cs="Arial"/>
          <w:sz w:val="20"/>
          <w:szCs w:val="20"/>
        </w:rPr>
        <w:t xml:space="preserve">, Krásno nad Bečvou, </w:t>
      </w:r>
      <w:r>
        <w:rPr>
          <w:rFonts w:ascii="Arial" w:hAnsi="Arial" w:cs="Arial"/>
          <w:sz w:val="20"/>
          <w:szCs w:val="20"/>
        </w:rPr>
        <w:t>757 01 Valašské Meziříčí</w:t>
      </w:r>
    </w:p>
    <w:p w14:paraId="6E5B9639" w14:textId="7E6E5C15" w:rsidR="003A11A2" w:rsidRPr="00DE1D7A" w:rsidRDefault="00C42BE8" w:rsidP="006B4DD4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případě, že </w:t>
      </w:r>
      <w:r w:rsidR="001F7E98">
        <w:rPr>
          <w:rFonts w:ascii="Arial" w:hAnsi="Arial" w:cs="Arial"/>
          <w:sz w:val="20"/>
          <w:szCs w:val="20"/>
        </w:rPr>
        <w:t>o</w:t>
      </w:r>
      <w:r w:rsidR="001F7E98" w:rsidRPr="00C6697A">
        <w:rPr>
          <w:rFonts w:ascii="Arial" w:hAnsi="Arial" w:cs="Arial"/>
          <w:color w:val="000000"/>
          <w:sz w:val="20"/>
          <w:szCs w:val="20"/>
        </w:rPr>
        <w:t>známení obsahuje informace o možném protiprávním jednání</w:t>
      </w:r>
      <w:r w:rsidR="001F7E98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1F7E98">
        <w:rPr>
          <w:rFonts w:ascii="Arial" w:hAnsi="Arial" w:cs="Arial"/>
          <w:sz w:val="20"/>
          <w:szCs w:val="20"/>
        </w:rPr>
        <w:t>ke kterému došlo ve společnosti musí o</w:t>
      </w:r>
      <w:r w:rsidR="00DA1000" w:rsidRPr="00C6697A">
        <w:rPr>
          <w:rFonts w:ascii="Arial" w:hAnsi="Arial" w:cs="Arial"/>
          <w:sz w:val="20"/>
          <w:szCs w:val="20"/>
        </w:rPr>
        <w:t xml:space="preserve">bálka být zalepená, označená nápisem </w:t>
      </w:r>
      <w:r w:rsidR="00DA1000" w:rsidRPr="00C6697A">
        <w:rPr>
          <w:rFonts w:ascii="Arial" w:hAnsi="Arial" w:cs="Arial"/>
          <w:i/>
          <w:iCs/>
          <w:sz w:val="20"/>
          <w:szCs w:val="20"/>
        </w:rPr>
        <w:t>„</w:t>
      </w:r>
      <w:r w:rsidR="00DA1000">
        <w:rPr>
          <w:rFonts w:ascii="Arial" w:hAnsi="Arial" w:cs="Arial"/>
          <w:i/>
          <w:iCs/>
          <w:sz w:val="20"/>
          <w:szCs w:val="20"/>
        </w:rPr>
        <w:t xml:space="preserve">Oznámení dle zákona o ochraně oznamovatelů </w:t>
      </w:r>
      <w:r w:rsidR="00DA1000" w:rsidRPr="00C6697A">
        <w:rPr>
          <w:rFonts w:ascii="Arial" w:hAnsi="Arial" w:cs="Arial"/>
          <w:i/>
          <w:iCs/>
          <w:sz w:val="20"/>
          <w:szCs w:val="20"/>
        </w:rPr>
        <w:t>k rukám příslušné osoby společnost</w:t>
      </w:r>
      <w:r w:rsidR="001F7E98">
        <w:rPr>
          <w:rFonts w:ascii="Arial" w:hAnsi="Arial" w:cs="Arial"/>
          <w:i/>
          <w:iCs/>
          <w:sz w:val="20"/>
          <w:szCs w:val="20"/>
        </w:rPr>
        <w:t>i</w:t>
      </w:r>
      <w:r w:rsidR="00DA1000" w:rsidRPr="00C6697A">
        <w:rPr>
          <w:rFonts w:ascii="Arial" w:hAnsi="Arial" w:cs="Arial"/>
          <w:i/>
          <w:iCs/>
          <w:sz w:val="20"/>
          <w:szCs w:val="20"/>
        </w:rPr>
        <w:t xml:space="preserve"> </w:t>
      </w:r>
      <w:r w:rsidR="00DE1D7A">
        <w:rPr>
          <w:rFonts w:ascii="Arial" w:hAnsi="Arial" w:cs="Arial"/>
          <w:i/>
          <w:iCs/>
          <w:sz w:val="20"/>
          <w:szCs w:val="20"/>
        </w:rPr>
        <w:t>OPOP s.r.o.</w:t>
      </w:r>
      <w:r w:rsidR="00F47CBE">
        <w:rPr>
          <w:rFonts w:ascii="Arial" w:hAnsi="Arial" w:cs="Arial"/>
          <w:i/>
          <w:iCs/>
          <w:sz w:val="20"/>
          <w:szCs w:val="20"/>
        </w:rPr>
        <w:t xml:space="preserve"> </w:t>
      </w:r>
      <w:r w:rsidR="00DA1000" w:rsidRPr="00C6697A">
        <w:rPr>
          <w:rFonts w:ascii="Arial" w:hAnsi="Arial" w:cs="Arial"/>
          <w:i/>
          <w:iCs/>
          <w:sz w:val="20"/>
          <w:szCs w:val="20"/>
        </w:rPr>
        <w:t>NEOT</w:t>
      </w:r>
      <w:r>
        <w:rPr>
          <w:rFonts w:ascii="Arial" w:hAnsi="Arial" w:cs="Arial"/>
          <w:i/>
          <w:iCs/>
          <w:sz w:val="20"/>
          <w:szCs w:val="20"/>
        </w:rPr>
        <w:t>E</w:t>
      </w:r>
      <w:r w:rsidR="00DA1000" w:rsidRPr="00C6697A">
        <w:rPr>
          <w:rFonts w:ascii="Arial" w:hAnsi="Arial" w:cs="Arial"/>
          <w:i/>
          <w:iCs/>
          <w:sz w:val="20"/>
          <w:szCs w:val="20"/>
        </w:rPr>
        <w:t>VÍRAT“.</w:t>
      </w:r>
    </w:p>
    <w:p w14:paraId="6EC6B609" w14:textId="77777777" w:rsidR="003A11A2" w:rsidRPr="00C6697A" w:rsidRDefault="003A11A2" w:rsidP="006B4DD4">
      <w:pPr>
        <w:rPr>
          <w:rFonts w:ascii="Arial" w:hAnsi="Arial" w:cs="Arial"/>
          <w:sz w:val="20"/>
          <w:szCs w:val="20"/>
        </w:rPr>
      </w:pPr>
    </w:p>
    <w:p w14:paraId="64FAB029" w14:textId="77777777" w:rsidR="003A11A2" w:rsidRPr="00C6697A" w:rsidRDefault="006427A0" w:rsidP="006B4DD4">
      <w:pPr>
        <w:rPr>
          <w:rFonts w:ascii="Arial" w:hAnsi="Arial" w:cs="Arial"/>
          <w:sz w:val="20"/>
          <w:szCs w:val="20"/>
        </w:rPr>
      </w:pPr>
      <w:r w:rsidRPr="00C6697A">
        <w:rPr>
          <w:rFonts w:ascii="Arial" w:hAnsi="Arial" w:cs="Arial"/>
          <w:sz w:val="20"/>
          <w:szCs w:val="20"/>
          <w:u w:val="single"/>
        </w:rPr>
        <w:t>Elektronicky:</w:t>
      </w:r>
      <w:r w:rsidRPr="00C6697A">
        <w:rPr>
          <w:rFonts w:ascii="Arial" w:hAnsi="Arial" w:cs="Arial"/>
          <w:sz w:val="20"/>
          <w:szCs w:val="20"/>
        </w:rPr>
        <w:t xml:space="preserve"> </w:t>
      </w:r>
    </w:p>
    <w:p w14:paraId="73C01F88" w14:textId="77777777" w:rsidR="0006415D" w:rsidRDefault="00975547" w:rsidP="0006415D">
      <w:hyperlink r:id="rId8" w:history="1">
        <w:r w:rsidR="0006415D">
          <w:rPr>
            <w:rStyle w:val="Hypertextovodkaz"/>
          </w:rPr>
          <w:t>ochranaoznamovatele@opop.cz</w:t>
        </w:r>
      </w:hyperlink>
    </w:p>
    <w:p w14:paraId="101CAFC5" w14:textId="77777777" w:rsidR="003A11A2" w:rsidRPr="00C6697A" w:rsidRDefault="003A11A2" w:rsidP="006B4DD4">
      <w:pPr>
        <w:rPr>
          <w:rFonts w:ascii="Arial" w:hAnsi="Arial" w:cs="Arial"/>
          <w:sz w:val="20"/>
          <w:szCs w:val="20"/>
        </w:rPr>
      </w:pPr>
    </w:p>
    <w:p w14:paraId="6F40D165" w14:textId="589BB401" w:rsidR="003A11A2" w:rsidRPr="00C6697A" w:rsidRDefault="003A11A2" w:rsidP="003A11A2">
      <w:pPr>
        <w:rPr>
          <w:rFonts w:ascii="Arial" w:hAnsi="Arial" w:cs="Arial"/>
          <w:sz w:val="20"/>
          <w:szCs w:val="20"/>
          <w:u w:val="single"/>
        </w:rPr>
      </w:pPr>
      <w:r w:rsidRPr="00C6697A">
        <w:rPr>
          <w:rFonts w:ascii="Arial" w:hAnsi="Arial" w:cs="Arial"/>
          <w:sz w:val="20"/>
          <w:szCs w:val="20"/>
          <w:u w:val="single"/>
        </w:rPr>
        <w:t xml:space="preserve">Telefonicky </w:t>
      </w:r>
      <w:r w:rsidR="001F7E98">
        <w:rPr>
          <w:rFonts w:ascii="Arial" w:hAnsi="Arial" w:cs="Arial"/>
          <w:sz w:val="20"/>
          <w:szCs w:val="20"/>
          <w:u w:val="single"/>
        </w:rPr>
        <w:t xml:space="preserve">(ústně) </w:t>
      </w:r>
      <w:r w:rsidRPr="00C6697A">
        <w:rPr>
          <w:rFonts w:ascii="Arial" w:hAnsi="Arial" w:cs="Arial"/>
          <w:sz w:val="20"/>
          <w:szCs w:val="20"/>
          <w:u w:val="single"/>
        </w:rPr>
        <w:t>na čísle:</w:t>
      </w:r>
    </w:p>
    <w:p w14:paraId="21DE7BD1" w14:textId="5E309E31" w:rsidR="003A11A2" w:rsidRPr="00C6697A" w:rsidRDefault="0006415D" w:rsidP="006B4D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571 675 488</w:t>
      </w:r>
    </w:p>
    <w:p w14:paraId="15C70B87" w14:textId="77777777" w:rsidR="003A11A2" w:rsidRPr="00C6697A" w:rsidRDefault="003A11A2" w:rsidP="006B4DD4">
      <w:pPr>
        <w:rPr>
          <w:rFonts w:ascii="Arial" w:hAnsi="Arial" w:cs="Arial"/>
          <w:sz w:val="20"/>
          <w:szCs w:val="20"/>
        </w:rPr>
      </w:pPr>
    </w:p>
    <w:p w14:paraId="736FC6F6" w14:textId="7294565D" w:rsidR="003A11A2" w:rsidRPr="00C6697A" w:rsidRDefault="006427A0" w:rsidP="006B4DD4">
      <w:pPr>
        <w:rPr>
          <w:rFonts w:ascii="Arial" w:hAnsi="Arial" w:cs="Arial"/>
          <w:sz w:val="20"/>
          <w:szCs w:val="20"/>
          <w:u w:val="single"/>
        </w:rPr>
      </w:pPr>
      <w:r w:rsidRPr="00C6697A">
        <w:rPr>
          <w:rFonts w:ascii="Arial" w:hAnsi="Arial" w:cs="Arial"/>
          <w:sz w:val="20"/>
          <w:szCs w:val="20"/>
          <w:u w:val="single"/>
        </w:rPr>
        <w:t>Osobně</w:t>
      </w:r>
      <w:r w:rsidR="001F7E98">
        <w:rPr>
          <w:rFonts w:ascii="Arial" w:hAnsi="Arial" w:cs="Arial"/>
          <w:sz w:val="20"/>
          <w:szCs w:val="20"/>
          <w:u w:val="single"/>
        </w:rPr>
        <w:t xml:space="preserve"> (i ústně)</w:t>
      </w:r>
      <w:r w:rsidR="003A11A2" w:rsidRPr="00C6697A">
        <w:rPr>
          <w:rFonts w:ascii="Arial" w:hAnsi="Arial" w:cs="Arial"/>
          <w:sz w:val="20"/>
          <w:szCs w:val="20"/>
          <w:u w:val="single"/>
        </w:rPr>
        <w:t>:</w:t>
      </w:r>
    </w:p>
    <w:p w14:paraId="7B2DAFE7" w14:textId="10B9EC6F" w:rsidR="003A11A2" w:rsidRPr="00C6697A" w:rsidRDefault="003A11A2" w:rsidP="003A11A2">
      <w:pPr>
        <w:rPr>
          <w:rFonts w:ascii="Arial" w:hAnsi="Arial" w:cs="Arial"/>
          <w:sz w:val="20"/>
          <w:szCs w:val="20"/>
        </w:rPr>
      </w:pPr>
      <w:r w:rsidRPr="00C6697A">
        <w:rPr>
          <w:rFonts w:ascii="Arial" w:hAnsi="Arial" w:cs="Arial"/>
          <w:sz w:val="20"/>
          <w:szCs w:val="20"/>
        </w:rPr>
        <w:t>Osobně po předchozí domluvě, nejpozději však do 14 dnů ode dne, kdy o to oznamovatel požádal.</w:t>
      </w:r>
    </w:p>
    <w:p w14:paraId="22C22E46" w14:textId="26BEBFC8" w:rsidR="003A11A2" w:rsidRPr="00C6697A" w:rsidRDefault="003A11A2" w:rsidP="003A11A2">
      <w:pPr>
        <w:rPr>
          <w:rFonts w:ascii="Arial" w:hAnsi="Arial" w:cs="Arial"/>
          <w:sz w:val="20"/>
          <w:szCs w:val="20"/>
        </w:rPr>
      </w:pPr>
      <w:r w:rsidRPr="00C6697A">
        <w:rPr>
          <w:rFonts w:ascii="Arial" w:hAnsi="Arial" w:cs="Arial"/>
          <w:sz w:val="20"/>
          <w:szCs w:val="20"/>
        </w:rPr>
        <w:t>Místem osobního podání je</w:t>
      </w:r>
      <w:r w:rsidR="0006415D">
        <w:rPr>
          <w:rFonts w:ascii="Arial" w:hAnsi="Arial" w:cs="Arial"/>
          <w:sz w:val="20"/>
          <w:szCs w:val="20"/>
        </w:rPr>
        <w:t xml:space="preserve">: Sekretariát v sídle společnosti, ul. </w:t>
      </w:r>
      <w:proofErr w:type="spellStart"/>
      <w:r w:rsidR="0006415D">
        <w:rPr>
          <w:rFonts w:ascii="Arial" w:hAnsi="Arial" w:cs="Arial"/>
          <w:sz w:val="20"/>
          <w:szCs w:val="20"/>
        </w:rPr>
        <w:t>Zašovská</w:t>
      </w:r>
      <w:proofErr w:type="spellEnd"/>
      <w:r w:rsidR="0006415D">
        <w:rPr>
          <w:rFonts w:ascii="Arial" w:hAnsi="Arial" w:cs="Arial"/>
          <w:sz w:val="20"/>
          <w:szCs w:val="20"/>
        </w:rPr>
        <w:t xml:space="preserve"> 750, Valašské Meziříčí</w:t>
      </w:r>
    </w:p>
    <w:p w14:paraId="1B44EFC4" w14:textId="77777777" w:rsidR="003A11A2" w:rsidRPr="00C6697A" w:rsidRDefault="003A11A2" w:rsidP="006B4DD4">
      <w:pPr>
        <w:rPr>
          <w:rFonts w:ascii="Arial" w:hAnsi="Arial" w:cs="Arial"/>
          <w:sz w:val="20"/>
          <w:szCs w:val="20"/>
        </w:rPr>
      </w:pPr>
    </w:p>
    <w:p w14:paraId="53F59A53" w14:textId="1528F31B" w:rsidR="003A11A2" w:rsidRPr="00C6697A" w:rsidRDefault="003A11A2" w:rsidP="006B4DD4">
      <w:pPr>
        <w:rPr>
          <w:rFonts w:ascii="Arial" w:hAnsi="Arial" w:cs="Arial"/>
          <w:b/>
          <w:bCs/>
          <w:sz w:val="20"/>
          <w:szCs w:val="20"/>
        </w:rPr>
      </w:pPr>
      <w:r w:rsidRPr="00C6697A">
        <w:rPr>
          <w:rFonts w:ascii="Arial" w:hAnsi="Arial" w:cs="Arial"/>
          <w:b/>
          <w:bCs/>
          <w:sz w:val="20"/>
          <w:szCs w:val="20"/>
        </w:rPr>
        <w:t>Forma oznámení:</w:t>
      </w:r>
    </w:p>
    <w:p w14:paraId="6DD7D8C9" w14:textId="53FE5603" w:rsidR="006427A0" w:rsidRPr="00DE1D7A" w:rsidRDefault="003A11A2" w:rsidP="006B4DD4">
      <w:pPr>
        <w:rPr>
          <w:rFonts w:ascii="Arial" w:hAnsi="Arial" w:cs="Arial"/>
          <w:b/>
          <w:bCs/>
          <w:color w:val="FF0000"/>
          <w:sz w:val="20"/>
          <w:szCs w:val="20"/>
        </w:rPr>
      </w:pPr>
      <w:r w:rsidRPr="00DE1D7A">
        <w:rPr>
          <w:rFonts w:ascii="Arial" w:hAnsi="Arial" w:cs="Arial"/>
          <w:b/>
          <w:bCs/>
          <w:color w:val="FF0000"/>
          <w:sz w:val="20"/>
          <w:szCs w:val="20"/>
        </w:rPr>
        <w:t xml:space="preserve">Oznámení můžete provést vlastní formou či dle našeho formuláře ke stažení </w:t>
      </w:r>
      <w:r w:rsidRPr="00DE1D7A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zde.</w:t>
      </w:r>
    </w:p>
    <w:p w14:paraId="4B7C729F" w14:textId="77777777" w:rsidR="003A11A2" w:rsidRPr="00C6697A" w:rsidRDefault="003A11A2" w:rsidP="006B4DD4">
      <w:pPr>
        <w:rPr>
          <w:rFonts w:ascii="Arial" w:hAnsi="Arial" w:cs="Arial"/>
          <w:sz w:val="20"/>
          <w:szCs w:val="20"/>
        </w:rPr>
      </w:pPr>
    </w:p>
    <w:p w14:paraId="6C2E5FC1" w14:textId="77777777" w:rsidR="0006415D" w:rsidRDefault="003A11A2" w:rsidP="0006415D">
      <w:r w:rsidRPr="00C6697A">
        <w:rPr>
          <w:rFonts w:ascii="Arial" w:hAnsi="Arial" w:cs="Arial"/>
          <w:b/>
          <w:bCs/>
          <w:sz w:val="20"/>
          <w:szCs w:val="20"/>
        </w:rPr>
        <w:t xml:space="preserve">Příslušnou osobou pro podání oznámení je </w:t>
      </w:r>
      <w:r w:rsidR="0006415D">
        <w:rPr>
          <w:rFonts w:ascii="Arial" w:hAnsi="Arial" w:cs="Arial"/>
          <w:b/>
          <w:bCs/>
          <w:sz w:val="20"/>
          <w:szCs w:val="20"/>
        </w:rPr>
        <w:t xml:space="preserve">Milena </w:t>
      </w:r>
      <w:proofErr w:type="gramStart"/>
      <w:r w:rsidR="0006415D">
        <w:rPr>
          <w:rFonts w:ascii="Arial" w:hAnsi="Arial" w:cs="Arial"/>
          <w:b/>
          <w:bCs/>
          <w:sz w:val="20"/>
          <w:szCs w:val="20"/>
        </w:rPr>
        <w:t xml:space="preserve">Koláčková;  </w:t>
      </w:r>
      <w:r w:rsidRPr="00C6697A">
        <w:rPr>
          <w:rFonts w:ascii="Arial" w:hAnsi="Arial" w:cs="Arial"/>
          <w:b/>
          <w:bCs/>
          <w:sz w:val="20"/>
          <w:szCs w:val="20"/>
        </w:rPr>
        <w:t>telefon</w:t>
      </w:r>
      <w:proofErr w:type="gramEnd"/>
      <w:r w:rsidR="0006415D">
        <w:rPr>
          <w:rFonts w:ascii="Arial" w:hAnsi="Arial" w:cs="Arial"/>
          <w:b/>
          <w:bCs/>
          <w:sz w:val="20"/>
          <w:szCs w:val="20"/>
        </w:rPr>
        <w:t xml:space="preserve"> 571 675 488; </w:t>
      </w:r>
      <w:r w:rsidRPr="00C6697A">
        <w:rPr>
          <w:rFonts w:ascii="Arial" w:hAnsi="Arial" w:cs="Arial"/>
          <w:b/>
          <w:bCs/>
          <w:sz w:val="20"/>
          <w:szCs w:val="20"/>
        </w:rPr>
        <w:t xml:space="preserve"> e-</w:t>
      </w:r>
      <w:r w:rsidR="006B4DD4" w:rsidRPr="00C6697A">
        <w:rPr>
          <w:rFonts w:ascii="Arial" w:hAnsi="Arial" w:cs="Arial"/>
          <w:b/>
          <w:bCs/>
          <w:sz w:val="20"/>
          <w:szCs w:val="20"/>
        </w:rPr>
        <w:t xml:space="preserve"> </w:t>
      </w:r>
      <w:r w:rsidR="002E67DB">
        <w:rPr>
          <w:rFonts w:ascii="Arial" w:hAnsi="Arial" w:cs="Arial"/>
          <w:b/>
          <w:bCs/>
          <w:sz w:val="20"/>
          <w:szCs w:val="20"/>
        </w:rPr>
        <w:t>mail</w:t>
      </w:r>
      <w:r w:rsidR="0006415D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9" w:history="1">
        <w:r w:rsidR="0006415D">
          <w:rPr>
            <w:rStyle w:val="Hypertextovodkaz"/>
          </w:rPr>
          <w:t>ochranaoznamovatele@opop.cz</w:t>
        </w:r>
      </w:hyperlink>
    </w:p>
    <w:p w14:paraId="7455625E" w14:textId="08740A3D" w:rsidR="00CA368B" w:rsidRPr="00C6697A" w:rsidRDefault="00CA368B" w:rsidP="00CA368B">
      <w:pPr>
        <w:pStyle w:val="l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C6697A">
        <w:rPr>
          <w:rFonts w:ascii="Arial" w:hAnsi="Arial" w:cs="Arial"/>
          <w:color w:val="000000"/>
          <w:sz w:val="20"/>
          <w:szCs w:val="20"/>
        </w:rPr>
        <w:t>O přijetí oznámení je příslušná osoba povinna do 7 dnů ode dne jeho přijetí písemně vyrozumět oznamovatele, ledaže oznamovatel výslovně požádal příslušnou osobu, aby ho o přijetí oznámení nevyrozumívala, nebo je zřejmé, že vyrozuměním o přijetí oznámení by došlo k prozrazení totožnosti oznamovatele jiné osobě.</w:t>
      </w:r>
    </w:p>
    <w:p w14:paraId="762E405B" w14:textId="77777777" w:rsidR="00CA368B" w:rsidRPr="00C6697A" w:rsidRDefault="00CA368B" w:rsidP="00CA368B">
      <w:pPr>
        <w:pStyle w:val="l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0AAB9CCC" w14:textId="7080BBC7" w:rsidR="00CA368B" w:rsidRPr="00C6697A" w:rsidRDefault="00CA368B" w:rsidP="00CA368B">
      <w:pPr>
        <w:pStyle w:val="l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C6697A">
        <w:rPr>
          <w:rFonts w:ascii="Arial" w:hAnsi="Arial" w:cs="Arial"/>
          <w:color w:val="000000"/>
          <w:sz w:val="20"/>
          <w:szCs w:val="20"/>
        </w:rPr>
        <w:t>Příslušná osoba je povinna posoudit důvodnost oznámení a písemně vyrozumět oznamovatele o výsledcích posouzení do 30 dnů ode dne přijetí oznámení. V případech skutkově nebo právně složitých lze tuto lhůtu prodloužit až o 30 dnů, nejvýše však dvakrát. O prodloužení lhůty a důvodech pro její prodloužení je příslušná osoba povinna oznamovatele písemně vyrozumět před jejím uplynutím. Odstavec 2 se použije obdobně.</w:t>
      </w:r>
    </w:p>
    <w:p w14:paraId="366F742B" w14:textId="77777777" w:rsidR="00CA368B" w:rsidRPr="00C6697A" w:rsidRDefault="00CA368B" w:rsidP="00CA368B">
      <w:pPr>
        <w:pStyle w:val="l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74AB0045" w14:textId="50BFE7B0" w:rsidR="00CA368B" w:rsidRPr="00C6697A" w:rsidRDefault="00CA368B" w:rsidP="00CA368B">
      <w:pPr>
        <w:pStyle w:val="l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C6697A">
        <w:rPr>
          <w:rFonts w:ascii="Arial" w:hAnsi="Arial" w:cs="Arial"/>
          <w:color w:val="000000"/>
          <w:sz w:val="20"/>
          <w:szCs w:val="20"/>
        </w:rPr>
        <w:t>Zjistí-li příslušná osoba při posuzování důvodnosti oznámení, že nejde o oznámení podle tohoto zákona, bez zbytečného odkladu o tom písemně vyrozumí oznamovatele.</w:t>
      </w:r>
    </w:p>
    <w:p w14:paraId="51C9BA17" w14:textId="77777777" w:rsidR="00CA368B" w:rsidRPr="00C6697A" w:rsidRDefault="00CA368B" w:rsidP="00CA368B">
      <w:pPr>
        <w:pStyle w:val="l4"/>
        <w:shd w:val="clear" w:color="auto" w:fill="FFFFFF"/>
        <w:spacing w:before="0" w:beforeAutospacing="0" w:after="0" w:afterAutospacing="0"/>
        <w:jc w:val="both"/>
        <w:rPr>
          <w:rStyle w:val="PromnnHTML"/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</w:pPr>
    </w:p>
    <w:p w14:paraId="5F363FD1" w14:textId="4B4FDC78" w:rsidR="00CA368B" w:rsidRPr="00C6697A" w:rsidRDefault="00CA368B" w:rsidP="00CA368B">
      <w:pPr>
        <w:pStyle w:val="l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C6697A">
        <w:rPr>
          <w:rFonts w:ascii="Arial" w:hAnsi="Arial" w:cs="Arial"/>
          <w:color w:val="000000"/>
          <w:sz w:val="20"/>
          <w:szCs w:val="20"/>
        </w:rPr>
        <w:t>Je-li oznámení vyhodnoceno jako důvodné, příslušná osoba povinnému subjektu navrhne opatření k předejití nebo nápravě protiprávního stavu. Je-li oznámení podáno u příslušné osoby povinného subjektu, pro který oznamovatel nevykonává práci nebo jinou obdobnou činnost, navrhuje příslušná osoba nápravná opatření osobě, pro kterou oznamovatel vykonává práci nebo jinou obdobnou činnost, nevylučuje-li to povaha věci. Nepřijme-li povinný subjekt opatření navržené příslušnou osobou, přijme k předejití nebo nápravě protiprávního stavu jiné vhodné opatření; to neplatí, jde-li o opatření navržené jiné osobě než povinnému subjektu, který tuto příslušnou osobu určil. O přijatém opatření povinný subjekt neprodleně vyrozumí příslušnou osobu, která o něm bez zbytečného odkladu písemně vyrozumí oznamovatele. Odstavec 2 se použije obdobně.</w:t>
      </w:r>
    </w:p>
    <w:p w14:paraId="46E8D6BE" w14:textId="77777777" w:rsidR="00CA368B" w:rsidRPr="00C6697A" w:rsidRDefault="00CA368B" w:rsidP="00CA368B">
      <w:pPr>
        <w:pStyle w:val="l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F3B0C5E" w14:textId="12645CBB" w:rsidR="00CA368B" w:rsidRPr="00C6697A" w:rsidRDefault="00CA368B" w:rsidP="00CA368B">
      <w:pPr>
        <w:pStyle w:val="l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C6697A">
        <w:rPr>
          <w:rFonts w:ascii="Arial" w:hAnsi="Arial" w:cs="Arial"/>
          <w:color w:val="000000"/>
          <w:sz w:val="20"/>
          <w:szCs w:val="20"/>
        </w:rPr>
        <w:lastRenderedPageBreak/>
        <w:t>Není-li oznámení vyhodnoceno jako důvodné, příslušná osoba bez zbytečného odkladu písemně vyrozumí oznamovatele o tom, že na základě skutečností uvedených v oznámení a z okolností, které jí jsou známy, neshledala podezření ze spáchání protiprávního jednání, nebo shledala, že oznámení se zakládá na nepravdivých informacích, a poučí oznamovatele o právu podat oznámení u orgánu veřejné</w:t>
      </w:r>
      <w:r w:rsidR="002F3F05">
        <w:rPr>
          <w:rFonts w:ascii="Arial" w:hAnsi="Arial" w:cs="Arial"/>
          <w:color w:val="000000"/>
          <w:sz w:val="20"/>
          <w:szCs w:val="20"/>
        </w:rPr>
        <w:t xml:space="preserve"> moci.</w:t>
      </w:r>
    </w:p>
    <w:p w14:paraId="6B8526F3" w14:textId="3C0008FA" w:rsidR="00CA368B" w:rsidRPr="00C6697A" w:rsidRDefault="00CA368B" w:rsidP="00CA368B">
      <w:pPr>
        <w:pStyle w:val="Nadpis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8A8F8"/>
          <w:sz w:val="20"/>
          <w:szCs w:val="20"/>
        </w:rPr>
      </w:pPr>
    </w:p>
    <w:p w14:paraId="6E3421B3" w14:textId="20788385" w:rsidR="00CA368B" w:rsidRPr="00C6697A" w:rsidRDefault="00CA368B" w:rsidP="00CA368B">
      <w:pPr>
        <w:pStyle w:val="l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C6697A">
        <w:rPr>
          <w:rFonts w:ascii="Arial" w:hAnsi="Arial" w:cs="Arial"/>
          <w:color w:val="000000"/>
          <w:sz w:val="20"/>
          <w:szCs w:val="20"/>
        </w:rPr>
        <w:t>Příslušná osoba neposkytn</w:t>
      </w:r>
      <w:r w:rsidR="002F3F05">
        <w:rPr>
          <w:rFonts w:ascii="Arial" w:hAnsi="Arial" w:cs="Arial"/>
          <w:color w:val="000000"/>
          <w:sz w:val="20"/>
          <w:szCs w:val="20"/>
        </w:rPr>
        <w:t>e</w:t>
      </w:r>
      <w:r w:rsidRPr="00C6697A">
        <w:rPr>
          <w:rFonts w:ascii="Arial" w:hAnsi="Arial" w:cs="Arial"/>
          <w:color w:val="000000"/>
          <w:sz w:val="20"/>
          <w:szCs w:val="20"/>
        </w:rPr>
        <w:t xml:space="preserve"> informace, které by mohly zmařit nebo ohrozit účel podávání oznámení. Tuto povinnost má i třetí osoba, která získá přístup k oznámením nebo do evidence údajů o přijatých oznámeních v rozporu s § 21 odst. 3. Zákona</w:t>
      </w:r>
    </w:p>
    <w:p w14:paraId="47F3EF83" w14:textId="77777777" w:rsidR="00CA368B" w:rsidRPr="00C6697A" w:rsidRDefault="00CA368B" w:rsidP="00CA368B">
      <w:pPr>
        <w:pStyle w:val="l4"/>
        <w:shd w:val="clear" w:color="auto" w:fill="FFFFFF"/>
        <w:spacing w:before="0" w:beforeAutospacing="0" w:after="0" w:afterAutospacing="0"/>
        <w:jc w:val="both"/>
        <w:rPr>
          <w:rStyle w:val="PromnnHTML"/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</w:pPr>
    </w:p>
    <w:p w14:paraId="60FDBFBE" w14:textId="7AAEA08D" w:rsidR="00CA368B" w:rsidRPr="00C6697A" w:rsidRDefault="00CA368B" w:rsidP="00CA368B">
      <w:pPr>
        <w:pStyle w:val="l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C6697A">
        <w:rPr>
          <w:rStyle w:val="PromnnHTML"/>
          <w:rFonts w:ascii="Arial" w:hAnsi="Arial" w:cs="Arial"/>
          <w:i w:val="0"/>
          <w:iCs w:val="0"/>
          <w:color w:val="000000"/>
          <w:sz w:val="20"/>
          <w:szCs w:val="20"/>
        </w:rPr>
        <w:t>I</w:t>
      </w:r>
      <w:r w:rsidRPr="00C6697A">
        <w:rPr>
          <w:rFonts w:ascii="Arial" w:hAnsi="Arial" w:cs="Arial"/>
          <w:color w:val="000000"/>
          <w:sz w:val="20"/>
          <w:szCs w:val="20"/>
        </w:rPr>
        <w:t>nformace o totožnosti oznamovatele a osoby podle § 4 odst. 2 písm. a) až h) je možné poskytnout jen s jejich písemným souhlasem, ledaže jsou příslušná osoba nebo pověřený zaměstnanec povinni tyto informace poskytnout příslušným orgánům veřejné moci podle jiných právních předpisů; to platí obdobně pro informace o totožnosti osoby uvedené v oznámení, jde-li o postup podle hlavy III. Zákona.</w:t>
      </w:r>
    </w:p>
    <w:p w14:paraId="01B1D5A3" w14:textId="3F6C62C4" w:rsidR="00CA368B" w:rsidRPr="00C6697A" w:rsidRDefault="00CA368B" w:rsidP="00CA368B">
      <w:pPr>
        <w:pStyle w:val="l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C6697A">
        <w:rPr>
          <w:rFonts w:ascii="Arial" w:hAnsi="Arial" w:cs="Arial"/>
          <w:color w:val="000000"/>
          <w:sz w:val="20"/>
          <w:szCs w:val="20"/>
        </w:rPr>
        <w:t>Poskytují-li příslušná osoba nebo pověřený zaměstnanec informaci o totožnosti oznamovatele orgánu veřejné moci jsou povinni o tom předem oznamovatele vyrozumět společně s důvody, pro které jsou povinni informaci o totožnosti poskytnout, a umožnit oznamovateli, aby se k poskytnutí informace vyjádřil.</w:t>
      </w:r>
    </w:p>
    <w:p w14:paraId="51DA1F3A" w14:textId="77777777" w:rsidR="00C42BE8" w:rsidRDefault="00C42BE8" w:rsidP="006B4DD4">
      <w:pPr>
        <w:rPr>
          <w:rFonts w:ascii="Arial" w:hAnsi="Arial" w:cs="Arial"/>
          <w:sz w:val="20"/>
          <w:szCs w:val="20"/>
        </w:rPr>
      </w:pPr>
    </w:p>
    <w:p w14:paraId="79207509" w14:textId="34EF273A" w:rsidR="002677AA" w:rsidRDefault="002677AA" w:rsidP="002677AA">
      <w:r>
        <w:rPr>
          <w:rFonts w:ascii="Arial" w:hAnsi="Arial" w:cs="Arial"/>
          <w:sz w:val="20"/>
          <w:szCs w:val="20"/>
        </w:rPr>
        <w:t>Osobní údaje oznamovatelů a dotčených osob spravu</w:t>
      </w:r>
      <w:r w:rsidR="00DE1D7A">
        <w:rPr>
          <w:rFonts w:ascii="Arial" w:hAnsi="Arial" w:cs="Arial"/>
          <w:sz w:val="20"/>
          <w:szCs w:val="20"/>
        </w:rPr>
        <w:t>je</w:t>
      </w:r>
      <w:r>
        <w:rPr>
          <w:rFonts w:ascii="Arial" w:hAnsi="Arial" w:cs="Arial"/>
          <w:sz w:val="20"/>
          <w:szCs w:val="20"/>
        </w:rPr>
        <w:t xml:space="preserve"> Společnost dle čl. 6 odst. 1 písm. c) GDPR. Osobní údaje oznamovatele a dotčených osob budou zpracovávány výhradně a slouží pouze pro pověřenou příslušnou osobu pana/paní</w:t>
      </w:r>
      <w:r w:rsidR="0006415D">
        <w:rPr>
          <w:rFonts w:ascii="Arial" w:hAnsi="Arial" w:cs="Arial"/>
          <w:sz w:val="20"/>
          <w:szCs w:val="20"/>
        </w:rPr>
        <w:t xml:space="preserve"> Milena Koláčková,</w:t>
      </w:r>
      <w:r>
        <w:rPr>
          <w:rFonts w:ascii="Arial" w:hAnsi="Arial" w:cs="Arial"/>
          <w:sz w:val="20"/>
          <w:szCs w:val="20"/>
        </w:rPr>
        <w:t xml:space="preserve"> která je zpracovatelem osobních údajů. Tyto osobní údaje budou uchovávány minimálně 5 let ode dne podání oznámení. </w:t>
      </w:r>
      <w:r>
        <w:t>Oznamovatel má v případě zpracování osobních údajů práva, jež jsou uvedena v nařízení Evropského parlamentu a Rady (EU) 2016/679 ze dne 27. dubna 2016 o ochraně fyzických osob v souvislosti se zpracováním osobních údajů a o volném pohybu těchto údajů a o zrušení směrnice 95/46/ES (Obecné nařízení o ochraně osobních údajů).</w:t>
      </w:r>
    </w:p>
    <w:p w14:paraId="3E60352D" w14:textId="77777777" w:rsidR="0006415D" w:rsidRDefault="002677AA" w:rsidP="0006415D">
      <w:r>
        <w:rPr>
          <w:rFonts w:ascii="Arial" w:hAnsi="Arial" w:cs="Arial"/>
          <w:sz w:val="20"/>
          <w:szCs w:val="20"/>
        </w:rPr>
        <w:t xml:space="preserve">Svá práva máte možnost uplatnit na e-mailové adrese příslušné osoby a to: </w:t>
      </w:r>
      <w:hyperlink r:id="rId10" w:history="1">
        <w:r w:rsidR="0006415D">
          <w:rPr>
            <w:rStyle w:val="Hypertextovodkaz"/>
          </w:rPr>
          <w:t>ochranaoznamovatele@opop.cz</w:t>
        </w:r>
      </w:hyperlink>
    </w:p>
    <w:p w14:paraId="6D36C21E" w14:textId="79F4C616" w:rsidR="002677AA" w:rsidRDefault="002677AA" w:rsidP="002677AA">
      <w:pPr>
        <w:rPr>
          <w:rStyle w:val="Hypertextovodkaz"/>
        </w:rPr>
      </w:pPr>
    </w:p>
    <w:p w14:paraId="786DE84A" w14:textId="77777777" w:rsidR="00C42BE8" w:rsidRPr="00C6697A" w:rsidRDefault="00C42BE8" w:rsidP="006B4DD4">
      <w:pPr>
        <w:rPr>
          <w:rFonts w:ascii="Arial" w:hAnsi="Arial" w:cs="Arial"/>
          <w:sz w:val="20"/>
          <w:szCs w:val="20"/>
        </w:rPr>
      </w:pPr>
    </w:p>
    <w:sectPr w:rsidR="00C42BE8" w:rsidRPr="00C66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4DB"/>
    <w:rsid w:val="0006415D"/>
    <w:rsid w:val="000A3B14"/>
    <w:rsid w:val="000B2946"/>
    <w:rsid w:val="000E08B2"/>
    <w:rsid w:val="001F7E98"/>
    <w:rsid w:val="00231ED4"/>
    <w:rsid w:val="00266A3B"/>
    <w:rsid w:val="002677AA"/>
    <w:rsid w:val="002E67DB"/>
    <w:rsid w:val="002F3F05"/>
    <w:rsid w:val="003559AB"/>
    <w:rsid w:val="003A11A2"/>
    <w:rsid w:val="004C44DB"/>
    <w:rsid w:val="004E1AC3"/>
    <w:rsid w:val="004F0F7E"/>
    <w:rsid w:val="00506169"/>
    <w:rsid w:val="00595882"/>
    <w:rsid w:val="005A394E"/>
    <w:rsid w:val="006427A0"/>
    <w:rsid w:val="006653EE"/>
    <w:rsid w:val="006B4DD4"/>
    <w:rsid w:val="007A3263"/>
    <w:rsid w:val="007F74DB"/>
    <w:rsid w:val="00893679"/>
    <w:rsid w:val="008E507B"/>
    <w:rsid w:val="00975547"/>
    <w:rsid w:val="00BB7B41"/>
    <w:rsid w:val="00BD394F"/>
    <w:rsid w:val="00C42BE8"/>
    <w:rsid w:val="00C6697A"/>
    <w:rsid w:val="00CA368B"/>
    <w:rsid w:val="00CC7531"/>
    <w:rsid w:val="00D344EB"/>
    <w:rsid w:val="00D4119C"/>
    <w:rsid w:val="00DA1000"/>
    <w:rsid w:val="00DB6E0D"/>
    <w:rsid w:val="00DE1D7A"/>
    <w:rsid w:val="00EC16BE"/>
    <w:rsid w:val="00F17055"/>
    <w:rsid w:val="00F4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5D8D1"/>
  <w15:docId w15:val="{D8E82DBB-7DFA-4B38-88A4-9E66C30A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F3F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6427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F74D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F74DB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6427A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l3">
    <w:name w:val="l3"/>
    <w:basedOn w:val="Normln"/>
    <w:rsid w:val="00642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6427A0"/>
    <w:rPr>
      <w:i/>
      <w:iCs/>
    </w:rPr>
  </w:style>
  <w:style w:type="paragraph" w:customStyle="1" w:styleId="l4">
    <w:name w:val="l4"/>
    <w:basedOn w:val="Normln"/>
    <w:rsid w:val="00642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5">
    <w:name w:val="l5"/>
    <w:basedOn w:val="Normln"/>
    <w:rsid w:val="00642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427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27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27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27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27A0"/>
    <w:rPr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F3F0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4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41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anaoznamovatelu@opop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konyprolidi.cz/cs/2023-17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zakonyprolidi.cz/cs/2023-17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znamovatel.justice.cz/" TargetMode="External"/><Relationship Id="rId10" Type="http://schemas.openxmlformats.org/officeDocument/2006/relationships/hyperlink" Target="mailto:ochranaoznamovatelu@opop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chranaoznamovatelu@opop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4D4A1-4981-4FFF-B818-34AA2AEC4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1183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Zmydlený</dc:creator>
  <cp:keywords/>
  <dc:description/>
  <cp:lastModifiedBy>Jana Stříteská Ing.</cp:lastModifiedBy>
  <cp:revision>5</cp:revision>
  <cp:lastPrinted>2023-07-10T11:59:00Z</cp:lastPrinted>
  <dcterms:created xsi:type="dcterms:W3CDTF">2023-11-30T08:50:00Z</dcterms:created>
  <dcterms:modified xsi:type="dcterms:W3CDTF">2023-11-30T09:43:00Z</dcterms:modified>
</cp:coreProperties>
</file>